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081" w:rsidRDefault="00CA4706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Writing</w:t>
      </w:r>
      <w:r w:rsidR="00A95153" w:rsidRPr="00A95153">
        <w:rPr>
          <w:rFonts w:ascii="Century Gothic" w:hAnsi="Century Gothic"/>
          <w:b/>
          <w:u w:val="single"/>
        </w:rPr>
        <w:t xml:space="preserve"> Year 5 &amp; 6 TPG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111"/>
        <w:gridCol w:w="851"/>
        <w:gridCol w:w="843"/>
        <w:gridCol w:w="728"/>
        <w:gridCol w:w="727"/>
        <w:gridCol w:w="793"/>
        <w:gridCol w:w="707"/>
      </w:tblGrid>
      <w:tr w:rsidR="00CA4706" w:rsidTr="00DB6350">
        <w:tc>
          <w:tcPr>
            <w:tcW w:w="1696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Focus Area</w:t>
            </w:r>
          </w:p>
        </w:tc>
        <w:tc>
          <w:tcPr>
            <w:tcW w:w="4111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National Curriculum Outcomes</w:t>
            </w:r>
          </w:p>
        </w:tc>
        <w:tc>
          <w:tcPr>
            <w:tcW w:w="851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A1</w:t>
            </w:r>
          </w:p>
        </w:tc>
        <w:tc>
          <w:tcPr>
            <w:tcW w:w="843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A2</w:t>
            </w:r>
          </w:p>
        </w:tc>
        <w:tc>
          <w:tcPr>
            <w:tcW w:w="728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Sp1</w:t>
            </w:r>
          </w:p>
        </w:tc>
        <w:tc>
          <w:tcPr>
            <w:tcW w:w="72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Sp2</w:t>
            </w:r>
          </w:p>
        </w:tc>
        <w:tc>
          <w:tcPr>
            <w:tcW w:w="793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Su1</w:t>
            </w:r>
          </w:p>
        </w:tc>
        <w:tc>
          <w:tcPr>
            <w:tcW w:w="707" w:type="dxa"/>
          </w:tcPr>
          <w:p w:rsidR="00CA4706" w:rsidRDefault="00CA4706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Su2</w:t>
            </w:r>
          </w:p>
        </w:tc>
      </w:tr>
      <w:tr w:rsidR="00AE05B7" w:rsidTr="00DB6350">
        <w:tc>
          <w:tcPr>
            <w:tcW w:w="1696" w:type="dxa"/>
            <w:vMerge w:val="restart"/>
          </w:tcPr>
          <w:p w:rsidR="00AE05B7" w:rsidRPr="00CA4706" w:rsidRDefault="00AE05B7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Composition</w:t>
            </w:r>
          </w:p>
        </w:tc>
        <w:tc>
          <w:tcPr>
            <w:tcW w:w="4111" w:type="dxa"/>
          </w:tcPr>
          <w:p w:rsidR="00AE05B7" w:rsidRDefault="00AE05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Write effectively a range of genres. </w:t>
            </w:r>
          </w:p>
          <w:p w:rsidR="00A458A5" w:rsidRDefault="00A458A5">
            <w:pPr>
              <w:rPr>
                <w:rFonts w:ascii="Century Gothic" w:hAnsi="Century Gothic"/>
              </w:rPr>
            </w:pPr>
          </w:p>
        </w:tc>
        <w:tc>
          <w:tcPr>
            <w:tcW w:w="851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E05B7" w:rsidTr="00DB6350">
        <w:tc>
          <w:tcPr>
            <w:tcW w:w="1696" w:type="dxa"/>
            <w:vMerge/>
          </w:tcPr>
          <w:p w:rsidR="00AE05B7" w:rsidRPr="00CA4706" w:rsidRDefault="00AE05B7" w:rsidP="00CA470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4111" w:type="dxa"/>
          </w:tcPr>
          <w:p w:rsidR="00AE05B7" w:rsidRPr="004B4A50" w:rsidRDefault="00AE05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Write effectively for a range of purposes and audiences selecting language that shows good awareness of the reader. </w:t>
            </w:r>
          </w:p>
        </w:tc>
        <w:tc>
          <w:tcPr>
            <w:tcW w:w="851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E05B7" w:rsidTr="00DB6350">
        <w:tc>
          <w:tcPr>
            <w:tcW w:w="1696" w:type="dxa"/>
            <w:vMerge/>
          </w:tcPr>
          <w:p w:rsidR="00AE05B7" w:rsidRPr="004B4A50" w:rsidRDefault="00AE05B7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AE05B7" w:rsidRPr="004B4A50" w:rsidRDefault="00AE05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Makes notes based on initial ideas, drawing on both reading and research (partner notes)</w:t>
            </w:r>
          </w:p>
        </w:tc>
        <w:tc>
          <w:tcPr>
            <w:tcW w:w="851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E05B7" w:rsidTr="00DB6350">
        <w:tc>
          <w:tcPr>
            <w:tcW w:w="1696" w:type="dxa"/>
            <w:vMerge/>
          </w:tcPr>
          <w:p w:rsidR="00AE05B7" w:rsidRPr="003670FA" w:rsidRDefault="00AE05B7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AE05B7" w:rsidRPr="003670FA" w:rsidRDefault="00AE05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When writing narratives, describe characters, settings and atmosphere and integrate dialogue and action. </w:t>
            </w:r>
          </w:p>
        </w:tc>
        <w:tc>
          <w:tcPr>
            <w:tcW w:w="851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E05B7" w:rsidTr="00DB6350">
        <w:tc>
          <w:tcPr>
            <w:tcW w:w="1696" w:type="dxa"/>
            <w:vMerge/>
          </w:tcPr>
          <w:p w:rsidR="00AE05B7" w:rsidRPr="003670FA" w:rsidRDefault="00AE05B7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AE05B7" w:rsidRPr="003670FA" w:rsidRDefault="00AE05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vocabulary and grammatical structures that reflect the genre of writing. </w:t>
            </w:r>
          </w:p>
        </w:tc>
        <w:tc>
          <w:tcPr>
            <w:tcW w:w="851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AE05B7" w:rsidRDefault="00AE05B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 w:val="restart"/>
          </w:tcPr>
          <w:p w:rsidR="007B549B" w:rsidRPr="00CA4706" w:rsidRDefault="007B549B" w:rsidP="00CA4706">
            <w:pPr>
              <w:jc w:val="center"/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t>Writing Transcription (</w:t>
            </w:r>
            <w:r>
              <w:rPr>
                <w:rFonts w:ascii="Century Gothic" w:hAnsi="Century Gothic"/>
                <w:b/>
              </w:rPr>
              <w:t>Grammar and Punctuation)</w:t>
            </w: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verb tenses consistently (past tense/present tense)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wide range of devices to build cohesion within and across paragraphs (adverbials, adverbs, </w:t>
            </w:r>
            <w:r w:rsidR="00A458A5">
              <w:rPr>
                <w:rFonts w:ascii="Century Gothic" w:hAnsi="Century Gothic"/>
              </w:rPr>
              <w:t>subordinating conjunctions</w:t>
            </w:r>
            <w:r w:rsidR="00AE05B7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and co-ordinating conjunctions)</w:t>
            </w:r>
            <w:r w:rsidR="00A458A5">
              <w:rPr>
                <w:rFonts w:ascii="Century Gothic" w:hAnsi="Century Gothic"/>
              </w:rPr>
              <w:t>.</w:t>
            </w:r>
          </w:p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further presentational and structural devices to structure and guide the reader (headings and subheadings)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Select verb forms for meaning and effect (subjunctive form and stack verbs)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colons to introduce a list.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  <w:p w:rsidR="00DB6350" w:rsidRDefault="00DB635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semi-colons to mark the boundary between independent clauses. 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hyphens to join words together.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expanded noun phrase to convey information concisely.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modal verbs to indicate degrees of possibility. 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relative clauses beginning with who, which, where, when, use and that.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commas to clarify meaning (following a fronted adverbial, within a list, and within a relative clause). 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brackets to indicate parenthesis. 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dashes to indicate parenthesis.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  <w:p w:rsidR="00DB6350" w:rsidRDefault="00DB635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  <w:vMerge/>
          </w:tcPr>
          <w:p w:rsidR="007B549B" w:rsidRDefault="007B549B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bullet points to relay a list.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  <w:p w:rsidR="00DB6350" w:rsidRDefault="00DB635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 w:val="restart"/>
          </w:tcPr>
          <w:p w:rsidR="00B1670F" w:rsidRPr="00CA4706" w:rsidRDefault="00B1670F" w:rsidP="00CA4706">
            <w:pPr>
              <w:rPr>
                <w:rFonts w:ascii="Century Gothic" w:hAnsi="Century Gothic"/>
                <w:b/>
              </w:rPr>
            </w:pPr>
            <w:r w:rsidRPr="00CA4706">
              <w:rPr>
                <w:rFonts w:ascii="Century Gothic" w:hAnsi="Century Gothic"/>
                <w:b/>
              </w:rPr>
              <w:lastRenderedPageBreak/>
              <w:t>Writing Transcription (</w:t>
            </w:r>
            <w:r>
              <w:rPr>
                <w:rFonts w:ascii="Century Gothic" w:hAnsi="Century Gothic"/>
                <w:b/>
              </w:rPr>
              <w:t>Spelling and Vocabulary)</w:t>
            </w: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thesaurus to aid writing.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  <w:p w:rsidR="00DB6350" w:rsidRDefault="00DB6350">
            <w:pPr>
              <w:rPr>
                <w:rFonts w:ascii="Century Gothic" w:hAnsi="Century Gothic"/>
                <w:b/>
                <w:u w:val="single"/>
              </w:rPr>
            </w:pPr>
            <w:bookmarkStart w:id="0" w:name="_GoBack"/>
            <w:bookmarkEnd w:id="0"/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the first 3 or 4 letters of a word to check spelling, meaning or both of these in a dictionary.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Spell correctly the most words from the year 5/6 spelling list.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that end in –</w:t>
            </w:r>
            <w:proofErr w:type="spellStart"/>
            <w:r>
              <w:rPr>
                <w:rFonts w:ascii="Century Gothic" w:hAnsi="Century Gothic"/>
              </w:rPr>
              <w:t>cial</w:t>
            </w:r>
            <w:proofErr w:type="spellEnd"/>
            <w:r>
              <w:rPr>
                <w:rFonts w:ascii="Century Gothic" w:hAnsi="Century Gothic"/>
              </w:rPr>
              <w:t xml:space="preserve"> and –</w:t>
            </w:r>
            <w:proofErr w:type="spellStart"/>
            <w:r>
              <w:rPr>
                <w:rFonts w:ascii="Century Gothic" w:hAnsi="Century Gothic"/>
              </w:rPr>
              <w:t>tial</w:t>
            </w:r>
            <w:proofErr w:type="spellEnd"/>
            <w:r>
              <w:rPr>
                <w:rFonts w:ascii="Century Gothic" w:hAnsi="Century Gothic"/>
              </w:rPr>
              <w:t xml:space="preserve"> correctly.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 suffixes beginning with vowel letters to words ending in –</w:t>
            </w:r>
            <w:proofErr w:type="spellStart"/>
            <w:r>
              <w:rPr>
                <w:rFonts w:ascii="Century Gothic" w:hAnsi="Century Gothic"/>
              </w:rPr>
              <w:t>fer</w:t>
            </w:r>
            <w:proofErr w:type="spellEnd"/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with the ‘</w:t>
            </w:r>
            <w:proofErr w:type="spellStart"/>
            <w:r>
              <w:rPr>
                <w:rFonts w:ascii="Century Gothic" w:hAnsi="Century Gothic"/>
              </w:rPr>
              <w:t>ei</w:t>
            </w:r>
            <w:proofErr w:type="spellEnd"/>
            <w:r>
              <w:rPr>
                <w:rFonts w:ascii="Century Gothic" w:hAnsi="Century Gothic"/>
              </w:rPr>
              <w:t>’ after ‘c’ correctly.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that end in –able and –</w:t>
            </w:r>
            <w:proofErr w:type="spellStart"/>
            <w:r>
              <w:rPr>
                <w:rFonts w:ascii="Century Gothic" w:hAnsi="Century Gothic"/>
              </w:rPr>
              <w:t>ible</w:t>
            </w:r>
            <w:proofErr w:type="spellEnd"/>
            <w:r>
              <w:rPr>
                <w:rFonts w:ascii="Century Gothic" w:hAnsi="Century Gothic"/>
              </w:rPr>
              <w:t xml:space="preserve"> correctly.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that end in –</w:t>
            </w:r>
            <w:proofErr w:type="spellStart"/>
            <w:r>
              <w:rPr>
                <w:rFonts w:ascii="Century Gothic" w:hAnsi="Century Gothic"/>
              </w:rPr>
              <w:t>cious</w:t>
            </w:r>
            <w:proofErr w:type="spellEnd"/>
            <w:r>
              <w:rPr>
                <w:rFonts w:ascii="Century Gothic" w:hAnsi="Century Gothic"/>
              </w:rPr>
              <w:t xml:space="preserve"> or –</w:t>
            </w:r>
            <w:proofErr w:type="spellStart"/>
            <w:r>
              <w:rPr>
                <w:rFonts w:ascii="Century Gothic" w:hAnsi="Century Gothic"/>
              </w:rPr>
              <w:t>tious</w:t>
            </w:r>
            <w:proofErr w:type="spellEnd"/>
            <w:r>
              <w:rPr>
                <w:rFonts w:ascii="Century Gothic" w:hAnsi="Century Gothic"/>
              </w:rPr>
              <w:t xml:space="preserve"> correctly.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that end in –ably and –</w:t>
            </w:r>
            <w:proofErr w:type="spellStart"/>
            <w:r>
              <w:rPr>
                <w:rFonts w:ascii="Century Gothic" w:hAnsi="Century Gothic"/>
              </w:rPr>
              <w:t>ibly</w:t>
            </w:r>
            <w:proofErr w:type="spellEnd"/>
            <w:r>
              <w:rPr>
                <w:rFonts w:ascii="Century Gothic" w:hAnsi="Century Gothic"/>
              </w:rPr>
              <w:t xml:space="preserve"> correctly.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ending in –ant, -</w:t>
            </w:r>
            <w:proofErr w:type="spellStart"/>
            <w:r>
              <w:rPr>
                <w:rFonts w:ascii="Century Gothic" w:hAnsi="Century Gothic"/>
              </w:rPr>
              <w:t>ance</w:t>
            </w:r>
            <w:proofErr w:type="spellEnd"/>
            <w:r>
              <w:rPr>
                <w:rFonts w:ascii="Century Gothic" w:hAnsi="Century Gothic"/>
              </w:rPr>
              <w:t>, -</w:t>
            </w:r>
            <w:proofErr w:type="spellStart"/>
            <w:r>
              <w:rPr>
                <w:rFonts w:ascii="Century Gothic" w:hAnsi="Century Gothic"/>
              </w:rPr>
              <w:t>ent</w:t>
            </w:r>
            <w:proofErr w:type="spellEnd"/>
            <w:r>
              <w:rPr>
                <w:rFonts w:ascii="Century Gothic" w:hAnsi="Century Gothic"/>
              </w:rPr>
              <w:t>, -</w:t>
            </w:r>
            <w:proofErr w:type="spellStart"/>
            <w:r>
              <w:rPr>
                <w:rFonts w:ascii="Century Gothic" w:hAnsi="Century Gothic"/>
              </w:rPr>
              <w:t>ence</w:t>
            </w:r>
            <w:proofErr w:type="spellEnd"/>
            <w:r>
              <w:rPr>
                <w:rFonts w:ascii="Century Gothic" w:hAnsi="Century Gothic"/>
              </w:rPr>
              <w:t xml:space="preserve"> and –</w:t>
            </w:r>
            <w:proofErr w:type="spellStart"/>
            <w:r>
              <w:rPr>
                <w:rFonts w:ascii="Century Gothic" w:hAnsi="Century Gothic"/>
              </w:rPr>
              <w:t>ency</w:t>
            </w:r>
            <w:proofErr w:type="spellEnd"/>
            <w:r>
              <w:rPr>
                <w:rFonts w:ascii="Century Gothic" w:hAnsi="Century Gothic"/>
              </w:rPr>
              <w:t xml:space="preserve"> correctly.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Spell homophones correctly.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Spell words with silent letters correctly.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1670F" w:rsidTr="00DB6350">
        <w:tc>
          <w:tcPr>
            <w:tcW w:w="1696" w:type="dxa"/>
            <w:vMerge/>
          </w:tcPr>
          <w:p w:rsidR="00B1670F" w:rsidRDefault="00B1670F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B1670F" w:rsidRDefault="00B167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Spell words containing the letter string –</w:t>
            </w:r>
            <w:proofErr w:type="spellStart"/>
            <w:r>
              <w:rPr>
                <w:rFonts w:ascii="Century Gothic" w:hAnsi="Century Gothic"/>
              </w:rPr>
              <w:t>ough</w:t>
            </w:r>
            <w:proofErr w:type="spellEnd"/>
            <w:r>
              <w:rPr>
                <w:rFonts w:ascii="Century Gothic" w:hAnsi="Century Gothic"/>
              </w:rPr>
              <w:t xml:space="preserve"> correctly. </w:t>
            </w:r>
          </w:p>
        </w:tc>
        <w:tc>
          <w:tcPr>
            <w:tcW w:w="851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B1670F" w:rsidRDefault="00B1670F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B549B" w:rsidTr="00DB6350">
        <w:tc>
          <w:tcPr>
            <w:tcW w:w="1696" w:type="dxa"/>
          </w:tcPr>
          <w:p w:rsidR="007B549B" w:rsidRPr="007B549B" w:rsidRDefault="007B549B">
            <w:pPr>
              <w:rPr>
                <w:rFonts w:ascii="Century Gothic" w:hAnsi="Century Gothic"/>
                <w:b/>
              </w:rPr>
            </w:pPr>
            <w:r w:rsidRPr="007B549B">
              <w:rPr>
                <w:rFonts w:ascii="Century Gothic" w:hAnsi="Century Gothic"/>
                <w:b/>
              </w:rPr>
              <w:t>Writing Transcription (Handwriting)</w:t>
            </w:r>
          </w:p>
        </w:tc>
        <w:tc>
          <w:tcPr>
            <w:tcW w:w="4111" w:type="dxa"/>
          </w:tcPr>
          <w:p w:rsidR="007B549B" w:rsidRDefault="007B549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Maintain legibility in joined handwriting when writing at speed. </w:t>
            </w:r>
          </w:p>
        </w:tc>
        <w:tc>
          <w:tcPr>
            <w:tcW w:w="851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7B549B" w:rsidRDefault="007B549B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DB6350">
        <w:tc>
          <w:tcPr>
            <w:tcW w:w="1696" w:type="dxa"/>
            <w:vMerge w:val="restart"/>
          </w:tcPr>
          <w:p w:rsidR="00E10A2E" w:rsidRPr="007158F2" w:rsidRDefault="00E10A2E">
            <w:pPr>
              <w:rPr>
                <w:rFonts w:ascii="Century Gothic" w:hAnsi="Century Gothic"/>
                <w:b/>
              </w:rPr>
            </w:pPr>
            <w:r w:rsidRPr="007158F2">
              <w:rPr>
                <w:rFonts w:ascii="Century Gothic" w:hAnsi="Century Gothic"/>
                <w:b/>
              </w:rPr>
              <w:t>Editing and up levelling</w:t>
            </w:r>
          </w:p>
        </w:tc>
        <w:tc>
          <w:tcPr>
            <w:tcW w:w="4111" w:type="dxa"/>
          </w:tcPr>
          <w:p w:rsidR="00E10A2E" w:rsidRDefault="00E10A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Assess the effectiveness of their own and other’s writing. </w:t>
            </w:r>
          </w:p>
        </w:tc>
        <w:tc>
          <w:tcPr>
            <w:tcW w:w="851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DB6350">
        <w:tc>
          <w:tcPr>
            <w:tcW w:w="1696" w:type="dxa"/>
            <w:vMerge/>
          </w:tcPr>
          <w:p w:rsidR="00E10A2E" w:rsidRDefault="00E10A2E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E10A2E" w:rsidRDefault="00E10A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Proof read for spelling and punctuation errors. </w:t>
            </w:r>
          </w:p>
        </w:tc>
        <w:tc>
          <w:tcPr>
            <w:tcW w:w="851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E10A2E" w:rsidTr="00DB6350">
        <w:tc>
          <w:tcPr>
            <w:tcW w:w="1696" w:type="dxa"/>
            <w:vMerge/>
          </w:tcPr>
          <w:p w:rsidR="00E10A2E" w:rsidRDefault="00E10A2E">
            <w:pPr>
              <w:rPr>
                <w:rFonts w:ascii="Century Gothic" w:hAnsi="Century Gothic"/>
              </w:rPr>
            </w:pPr>
          </w:p>
        </w:tc>
        <w:tc>
          <w:tcPr>
            <w:tcW w:w="4111" w:type="dxa"/>
          </w:tcPr>
          <w:p w:rsidR="00E10A2E" w:rsidRDefault="00E10A2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Propose changes to vocabulary, grammar and punctuation to enhance effects and clarify meaning. </w:t>
            </w:r>
          </w:p>
        </w:tc>
        <w:tc>
          <w:tcPr>
            <w:tcW w:w="851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4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8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2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93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707" w:type="dxa"/>
          </w:tcPr>
          <w:p w:rsidR="00E10A2E" w:rsidRDefault="00E10A2E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:rsidR="00A95153" w:rsidRDefault="00A95153">
      <w:pPr>
        <w:rPr>
          <w:rFonts w:ascii="Century Gothic" w:hAnsi="Century Gothic"/>
          <w:b/>
          <w:u w:val="single"/>
        </w:rPr>
      </w:pPr>
    </w:p>
    <w:p w:rsidR="003670FA" w:rsidRPr="00A95153" w:rsidRDefault="003670FA">
      <w:pPr>
        <w:rPr>
          <w:rFonts w:ascii="Century Gothic" w:hAnsi="Century Gothic"/>
          <w:b/>
          <w:u w:val="single"/>
        </w:rPr>
      </w:pPr>
    </w:p>
    <w:sectPr w:rsidR="003670FA" w:rsidRPr="00A95153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53"/>
    <w:rsid w:val="000205F7"/>
    <w:rsid w:val="002C75B1"/>
    <w:rsid w:val="003670FA"/>
    <w:rsid w:val="004B4A50"/>
    <w:rsid w:val="004C5CA3"/>
    <w:rsid w:val="005C51DD"/>
    <w:rsid w:val="006D4603"/>
    <w:rsid w:val="007158F2"/>
    <w:rsid w:val="007B549B"/>
    <w:rsid w:val="007E6F1F"/>
    <w:rsid w:val="00806081"/>
    <w:rsid w:val="00A27B08"/>
    <w:rsid w:val="00A458A5"/>
    <w:rsid w:val="00A95153"/>
    <w:rsid w:val="00AE05B7"/>
    <w:rsid w:val="00B1670F"/>
    <w:rsid w:val="00CA4706"/>
    <w:rsid w:val="00DB6350"/>
    <w:rsid w:val="00E1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F1CA1"/>
  <w15:chartTrackingRefBased/>
  <w15:docId w15:val="{7B1E710C-691F-4B6F-BED8-62D28E82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6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9</cp:revision>
  <cp:lastPrinted>2022-08-02T11:29:00Z</cp:lastPrinted>
  <dcterms:created xsi:type="dcterms:W3CDTF">2022-08-02T09:43:00Z</dcterms:created>
  <dcterms:modified xsi:type="dcterms:W3CDTF">2022-08-02T11:30:00Z</dcterms:modified>
</cp:coreProperties>
</file>